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C49A9" w14:textId="68985911" w:rsidR="00C52F68" w:rsidRPr="00D65A2F" w:rsidRDefault="00773CFD" w:rsidP="003B120A">
      <w:pPr>
        <w:spacing w:after="60"/>
        <w:jc w:val="center"/>
        <w:rPr>
          <w:smallCaps/>
        </w:rPr>
      </w:pPr>
      <w:r>
        <w:rPr>
          <w:smallCaps/>
        </w:rPr>
        <w:t>Example</w:t>
      </w:r>
      <w:r w:rsidR="00F23483">
        <w:rPr>
          <w:smallCaps/>
        </w:rPr>
        <w:t>s for</w:t>
      </w:r>
      <w:r>
        <w:rPr>
          <w:smallCaps/>
        </w:rPr>
        <w:t xml:space="preserve"> </w:t>
      </w:r>
      <w:r w:rsidR="0066523C" w:rsidRPr="00D65A2F">
        <w:rPr>
          <w:smallCaps/>
        </w:rPr>
        <w:t>Assessment Plan</w:t>
      </w:r>
      <w:r w:rsidR="00F23483">
        <w:rPr>
          <w:smallCaps/>
        </w:rPr>
        <w:t>s</w:t>
      </w:r>
      <w:r>
        <w:rPr>
          <w:smallCaps/>
        </w:rPr>
        <w:t xml:space="preserve"> for Schools &amp; Colleges</w:t>
      </w:r>
      <w:r w:rsidR="00560E93">
        <w:rPr>
          <w:smallCaps/>
        </w:rPr>
        <w:t xml:space="preserve"> </w:t>
      </w:r>
      <w:r w:rsidR="00BE1AB9">
        <w:rPr>
          <w:smallCaps/>
        </w:rPr>
        <w:t>– Office of the Dean</w:t>
      </w:r>
      <w:r w:rsidR="00A56CD6">
        <w:rPr>
          <w:smallCaps/>
        </w:rPr>
        <w:br/>
      </w:r>
      <w:r w:rsidR="00560E93">
        <w:rPr>
          <w:smallCaps/>
        </w:rPr>
        <w:t>Including Stud</w:t>
      </w:r>
      <w:r w:rsidR="00A56CD6">
        <w:rPr>
          <w:smallCaps/>
        </w:rPr>
        <w:t>ent Support, Service &amp; Research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078"/>
      </w:tblGrid>
      <w:tr w:rsidR="00C52F68" w:rsidRPr="001642EF" w14:paraId="6CACE4CD" w14:textId="77777777" w:rsidTr="00CE6A17">
        <w:tc>
          <w:tcPr>
            <w:tcW w:w="2538" w:type="dxa"/>
            <w:tcBorders>
              <w:top w:val="nil"/>
              <w:left w:val="nil"/>
              <w:bottom w:val="nil"/>
            </w:tcBorders>
            <w:shd w:val="clear" w:color="auto" w:fill="auto"/>
          </w:tcPr>
          <w:p w14:paraId="1A52A13A" w14:textId="77777777" w:rsidR="00C52F68" w:rsidRPr="001642EF" w:rsidRDefault="00773CFD" w:rsidP="00CE6A17">
            <w:pPr>
              <w:jc w:val="right"/>
              <w:rPr>
                <w:rFonts w:cs="Tahoma"/>
                <w:sz w:val="20"/>
              </w:rPr>
            </w:pPr>
            <w:r w:rsidRPr="001642EF">
              <w:rPr>
                <w:rFonts w:cs="Tahoma"/>
                <w:sz w:val="20"/>
              </w:rPr>
              <w:t>College/School</w:t>
            </w:r>
          </w:p>
        </w:tc>
        <w:tc>
          <w:tcPr>
            <w:tcW w:w="12078" w:type="dxa"/>
            <w:shd w:val="clear" w:color="auto" w:fill="auto"/>
          </w:tcPr>
          <w:p w14:paraId="6EFFF6D3" w14:textId="505BFA55" w:rsidR="00C52F68" w:rsidRPr="001642EF" w:rsidRDefault="007F7E6C">
            <w:pPr>
              <w:rPr>
                <w:rFonts w:cs="Tahoma"/>
              </w:rPr>
            </w:pPr>
            <w:r w:rsidRPr="001642EF">
              <w:rPr>
                <w:rFonts w:cs="Tahoma"/>
              </w:rPr>
              <w:t>College of Humanities and Social Sciences – Office of the Dean</w:t>
            </w:r>
          </w:p>
        </w:tc>
      </w:tr>
      <w:tr w:rsidR="00C52F68" w:rsidRPr="001642EF" w14:paraId="01796672" w14:textId="77777777" w:rsidTr="00CE6A17">
        <w:trPr>
          <w:trHeight w:val="548"/>
        </w:trPr>
        <w:tc>
          <w:tcPr>
            <w:tcW w:w="2538" w:type="dxa"/>
            <w:tcBorders>
              <w:top w:val="nil"/>
              <w:left w:val="nil"/>
              <w:bottom w:val="nil"/>
            </w:tcBorders>
            <w:shd w:val="clear" w:color="auto" w:fill="auto"/>
          </w:tcPr>
          <w:p w14:paraId="3FD278E5" w14:textId="77777777" w:rsidR="00C52F68" w:rsidRPr="001642EF" w:rsidRDefault="00C52F68" w:rsidP="00CE6A17">
            <w:pPr>
              <w:jc w:val="right"/>
              <w:rPr>
                <w:rFonts w:cs="Tahoma"/>
                <w:sz w:val="20"/>
              </w:rPr>
            </w:pPr>
            <w:r w:rsidRPr="001642EF">
              <w:rPr>
                <w:rFonts w:cs="Tahoma"/>
                <w:sz w:val="20"/>
              </w:rPr>
              <w:t>Description of Faculty/Staff Involvement</w:t>
            </w:r>
          </w:p>
        </w:tc>
        <w:tc>
          <w:tcPr>
            <w:tcW w:w="12078" w:type="dxa"/>
            <w:shd w:val="clear" w:color="auto" w:fill="auto"/>
          </w:tcPr>
          <w:p w14:paraId="0874BCBD" w14:textId="52EC04A6" w:rsidR="00C52F68" w:rsidRPr="001642EF" w:rsidRDefault="00332E7D" w:rsidP="00332E7D">
            <w:pPr>
              <w:autoSpaceDE w:val="0"/>
              <w:autoSpaceDN w:val="0"/>
              <w:adjustRightInd w:val="0"/>
              <w:rPr>
                <w:rFonts w:cs="Tahoma"/>
              </w:rPr>
            </w:pPr>
            <w:r w:rsidRPr="001642EF">
              <w:rPr>
                <w:rFonts w:cs="Tahoma"/>
              </w:rPr>
              <w:t>Faculty and staff provide feedback that address outcomes. Members of the Administrative Leadership Council review assessment results in order to assist in improvement processes. They make recommendations to the dean and department chairs for improvement.</w:t>
            </w:r>
          </w:p>
        </w:tc>
      </w:tr>
      <w:tr w:rsidR="00C52F68" w:rsidRPr="001642EF" w14:paraId="7A5920BB" w14:textId="77777777" w:rsidTr="001642EF">
        <w:trPr>
          <w:trHeight w:val="70"/>
        </w:trPr>
        <w:tc>
          <w:tcPr>
            <w:tcW w:w="2538" w:type="dxa"/>
            <w:tcBorders>
              <w:top w:val="nil"/>
              <w:left w:val="nil"/>
              <w:bottom w:val="nil"/>
            </w:tcBorders>
            <w:shd w:val="clear" w:color="auto" w:fill="auto"/>
          </w:tcPr>
          <w:p w14:paraId="295BD757" w14:textId="77777777" w:rsidR="00C52F68" w:rsidRPr="001642EF" w:rsidRDefault="00C52F68" w:rsidP="00773CFD">
            <w:pPr>
              <w:jc w:val="right"/>
              <w:rPr>
                <w:rFonts w:cs="Tahoma"/>
                <w:sz w:val="20"/>
              </w:rPr>
            </w:pPr>
            <w:r w:rsidRPr="001642EF">
              <w:rPr>
                <w:rFonts w:cs="Tahoma"/>
                <w:sz w:val="20"/>
              </w:rPr>
              <w:t xml:space="preserve">Mission Statement </w:t>
            </w:r>
            <w:r w:rsidRPr="001642EF">
              <w:rPr>
                <w:rFonts w:cs="Tahoma"/>
                <w:sz w:val="20"/>
              </w:rPr>
              <w:br/>
              <w:t xml:space="preserve">or </w:t>
            </w:r>
            <w:r w:rsidR="00773CFD" w:rsidRPr="001642EF">
              <w:rPr>
                <w:rFonts w:cs="Tahoma"/>
                <w:sz w:val="20"/>
              </w:rPr>
              <w:t>School</w:t>
            </w:r>
            <w:r w:rsidRPr="001642EF">
              <w:rPr>
                <w:rFonts w:cs="Tahoma"/>
                <w:sz w:val="20"/>
              </w:rPr>
              <w:t xml:space="preserve"> Description</w:t>
            </w:r>
          </w:p>
        </w:tc>
        <w:tc>
          <w:tcPr>
            <w:tcW w:w="12078" w:type="dxa"/>
            <w:shd w:val="clear" w:color="auto" w:fill="auto"/>
          </w:tcPr>
          <w:p w14:paraId="4360F9BA" w14:textId="17619FD1" w:rsidR="00C52F68" w:rsidRPr="001642EF" w:rsidRDefault="00332E7D" w:rsidP="00332E7D">
            <w:pPr>
              <w:autoSpaceDE w:val="0"/>
              <w:autoSpaceDN w:val="0"/>
              <w:adjustRightInd w:val="0"/>
              <w:rPr>
                <w:rFonts w:cs="Tahoma"/>
              </w:rPr>
            </w:pPr>
            <w:r w:rsidRPr="001642EF">
              <w:rPr>
                <w:rFonts w:cs="Tahoma"/>
              </w:rPr>
              <w:t>Undergraduate and graduate programs in the unit are conceptualized to prepare candidates who can positively impact students to be productive and caring citizens who are problem solvers, users of technology, advocates for diverse learners, effective communicators, and life-long learners.</w:t>
            </w:r>
          </w:p>
        </w:tc>
      </w:tr>
    </w:tbl>
    <w:p w14:paraId="4849AB75" w14:textId="77777777" w:rsidR="00C52F68" w:rsidRDefault="00C52F68" w:rsidP="00C52F68">
      <w:pPr>
        <w:spacing w:line="12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2880"/>
        <w:gridCol w:w="5310"/>
        <w:gridCol w:w="4860"/>
      </w:tblGrid>
      <w:tr w:rsidR="006A74B8" w:rsidRPr="001642EF" w14:paraId="4FF4B480" w14:textId="77777777" w:rsidTr="007C0654">
        <w:tc>
          <w:tcPr>
            <w:tcW w:w="1548" w:type="dxa"/>
            <w:shd w:val="clear" w:color="auto" w:fill="auto"/>
          </w:tcPr>
          <w:p w14:paraId="4D43755B" w14:textId="77777777" w:rsidR="00C52F68" w:rsidRPr="001642EF" w:rsidRDefault="00C52F68" w:rsidP="006A74B8">
            <w:pPr>
              <w:jc w:val="center"/>
              <w:rPr>
                <w:rFonts w:cs="Tahoma"/>
                <w:sz w:val="20"/>
                <w:szCs w:val="20"/>
              </w:rPr>
            </w:pPr>
            <w:r w:rsidRPr="001642EF">
              <w:rPr>
                <w:rFonts w:cs="Tahoma"/>
                <w:sz w:val="20"/>
                <w:szCs w:val="20"/>
              </w:rPr>
              <w:t>Outcome Names</w:t>
            </w:r>
          </w:p>
        </w:tc>
        <w:tc>
          <w:tcPr>
            <w:tcW w:w="2880" w:type="dxa"/>
            <w:shd w:val="clear" w:color="auto" w:fill="auto"/>
          </w:tcPr>
          <w:p w14:paraId="2FF9F356" w14:textId="77777777" w:rsidR="00C52F68" w:rsidRPr="001642EF" w:rsidRDefault="00C52F68" w:rsidP="00CE6A17">
            <w:pPr>
              <w:jc w:val="center"/>
              <w:rPr>
                <w:rFonts w:cs="Tahoma"/>
                <w:sz w:val="20"/>
                <w:szCs w:val="20"/>
              </w:rPr>
            </w:pPr>
            <w:r w:rsidRPr="001642EF">
              <w:rPr>
                <w:rFonts w:cs="Tahoma"/>
                <w:sz w:val="20"/>
                <w:szCs w:val="20"/>
              </w:rPr>
              <w:t>Outcomes</w:t>
            </w:r>
            <w:r w:rsidR="0066523C" w:rsidRPr="001642EF">
              <w:rPr>
                <w:rFonts w:cs="Tahoma"/>
                <w:sz w:val="20"/>
                <w:szCs w:val="20"/>
              </w:rPr>
              <w:br/>
              <w:t>(Service or Student Learning)</w:t>
            </w:r>
          </w:p>
        </w:tc>
        <w:tc>
          <w:tcPr>
            <w:tcW w:w="5310" w:type="dxa"/>
            <w:shd w:val="clear" w:color="auto" w:fill="auto"/>
          </w:tcPr>
          <w:p w14:paraId="22F8E477" w14:textId="77777777" w:rsidR="00C52F68" w:rsidRPr="001642EF" w:rsidRDefault="00C52F68" w:rsidP="00CE6A17">
            <w:pPr>
              <w:jc w:val="center"/>
              <w:rPr>
                <w:rFonts w:cs="Tahoma"/>
                <w:sz w:val="20"/>
                <w:szCs w:val="20"/>
              </w:rPr>
            </w:pPr>
            <w:r w:rsidRPr="001642EF">
              <w:rPr>
                <w:rFonts w:cs="Tahoma"/>
                <w:sz w:val="20"/>
                <w:szCs w:val="20"/>
              </w:rPr>
              <w:t>Means of Assessment</w:t>
            </w:r>
            <w:r w:rsidR="0066523C" w:rsidRPr="001642EF">
              <w:rPr>
                <w:rFonts w:cs="Tahoma"/>
                <w:sz w:val="20"/>
                <w:szCs w:val="20"/>
              </w:rPr>
              <w:br/>
              <w:t>(what will be assessed, by whom, when, and how)</w:t>
            </w:r>
          </w:p>
        </w:tc>
        <w:tc>
          <w:tcPr>
            <w:tcW w:w="4860" w:type="dxa"/>
            <w:shd w:val="clear" w:color="auto" w:fill="auto"/>
          </w:tcPr>
          <w:p w14:paraId="416161E0" w14:textId="77777777" w:rsidR="00C52F68" w:rsidRPr="001642EF" w:rsidRDefault="00C52F68" w:rsidP="00CE6A17">
            <w:pPr>
              <w:jc w:val="center"/>
              <w:rPr>
                <w:rFonts w:cs="Tahoma"/>
                <w:sz w:val="20"/>
                <w:szCs w:val="20"/>
              </w:rPr>
            </w:pPr>
            <w:r w:rsidRPr="001642EF">
              <w:rPr>
                <w:rFonts w:cs="Tahoma"/>
                <w:sz w:val="20"/>
                <w:szCs w:val="20"/>
              </w:rPr>
              <w:t>Criteria for Success</w:t>
            </w:r>
            <w:r w:rsidR="0066523C" w:rsidRPr="001642EF">
              <w:rPr>
                <w:rFonts w:cs="Tahoma"/>
                <w:sz w:val="20"/>
                <w:szCs w:val="20"/>
              </w:rPr>
              <w:br/>
              <w:t>(standard of excellence)</w:t>
            </w:r>
          </w:p>
        </w:tc>
      </w:tr>
      <w:tr w:rsidR="00F50BC3" w:rsidRPr="001642EF" w14:paraId="75BAA14E" w14:textId="77777777" w:rsidTr="007C0654">
        <w:trPr>
          <w:trHeight w:val="1062"/>
        </w:trPr>
        <w:tc>
          <w:tcPr>
            <w:tcW w:w="1548" w:type="dxa"/>
            <w:vMerge w:val="restart"/>
            <w:shd w:val="clear" w:color="auto" w:fill="auto"/>
          </w:tcPr>
          <w:p w14:paraId="79BD8271" w14:textId="77777777" w:rsidR="00F50BC3" w:rsidRPr="001642EF" w:rsidRDefault="00F50BC3">
            <w:pPr>
              <w:rPr>
                <w:rFonts w:cs="Tahoma"/>
              </w:rPr>
            </w:pPr>
            <w:r w:rsidRPr="001642EF">
              <w:rPr>
                <w:rFonts w:cs="Tahoma"/>
              </w:rPr>
              <w:t>1. Service</w:t>
            </w:r>
          </w:p>
        </w:tc>
        <w:tc>
          <w:tcPr>
            <w:tcW w:w="2880" w:type="dxa"/>
            <w:vMerge w:val="restart"/>
            <w:shd w:val="clear" w:color="auto" w:fill="auto"/>
          </w:tcPr>
          <w:p w14:paraId="0F636A70" w14:textId="78D4607E" w:rsidR="00B44B75" w:rsidRPr="001642EF" w:rsidRDefault="00F50BC3" w:rsidP="007C1790">
            <w:pPr>
              <w:shd w:val="clear" w:color="auto" w:fill="FFFFFF"/>
              <w:spacing w:before="100" w:beforeAutospacing="1" w:after="75" w:line="240" w:lineRule="atLeast"/>
              <w:rPr>
                <w:rFonts w:eastAsia="Times New Roman" w:cs="Tahoma"/>
                <w:color w:val="333333"/>
              </w:rPr>
            </w:pPr>
            <w:r w:rsidRPr="001642EF">
              <w:rPr>
                <w:rFonts w:cs="Tahoma"/>
              </w:rPr>
              <w:t xml:space="preserve">The </w:t>
            </w:r>
            <w:r w:rsidR="007F7E6C" w:rsidRPr="001642EF">
              <w:rPr>
                <w:rFonts w:cs="Tahoma"/>
              </w:rPr>
              <w:t xml:space="preserve">Office of the Dean for the College of Humanities and Social Sciences </w:t>
            </w:r>
            <w:r w:rsidRPr="001642EF">
              <w:rPr>
                <w:rFonts w:cs="Tahoma"/>
              </w:rPr>
              <w:t xml:space="preserve">effectively supports its faculty, staff and students’ efforts to </w:t>
            </w:r>
            <w:r w:rsidRPr="001642EF">
              <w:rPr>
                <w:rFonts w:eastAsia="Times New Roman" w:cs="Tahoma"/>
                <w:color w:val="333333"/>
              </w:rPr>
              <w:t>devote knowledge</w:t>
            </w:r>
            <w:r w:rsidR="007C1790" w:rsidRPr="001642EF">
              <w:rPr>
                <w:rFonts w:eastAsia="Times New Roman" w:cs="Tahoma"/>
                <w:color w:val="333333"/>
              </w:rPr>
              <w:t>, expertise,</w:t>
            </w:r>
            <w:r w:rsidRPr="001642EF">
              <w:rPr>
                <w:rFonts w:eastAsia="Times New Roman" w:cs="Tahoma"/>
                <w:color w:val="333333"/>
              </w:rPr>
              <w:t xml:space="preserve"> and abilities to serve the </w:t>
            </w:r>
            <w:r w:rsidR="007C1790" w:rsidRPr="001642EF">
              <w:rPr>
                <w:rFonts w:eastAsia="Times New Roman" w:cs="Tahoma"/>
                <w:color w:val="333333"/>
              </w:rPr>
              <w:t xml:space="preserve">community, </w:t>
            </w:r>
            <w:r w:rsidRPr="001642EF">
              <w:rPr>
                <w:rFonts w:eastAsia="Times New Roman" w:cs="Tahoma"/>
                <w:color w:val="333333"/>
              </w:rPr>
              <w:t>state</w:t>
            </w:r>
            <w:r w:rsidR="007C1790" w:rsidRPr="001642EF">
              <w:rPr>
                <w:rFonts w:eastAsia="Times New Roman" w:cs="Tahoma"/>
                <w:color w:val="333333"/>
              </w:rPr>
              <w:t>,</w:t>
            </w:r>
            <w:r w:rsidRPr="001642EF">
              <w:rPr>
                <w:rFonts w:eastAsia="Times New Roman" w:cs="Tahoma"/>
                <w:color w:val="333333"/>
              </w:rPr>
              <w:t xml:space="preserve"> and the world.</w:t>
            </w:r>
          </w:p>
          <w:p w14:paraId="5F97DE00" w14:textId="77777777" w:rsidR="00F50BC3" w:rsidRPr="001642EF" w:rsidRDefault="00F50BC3">
            <w:pPr>
              <w:rPr>
                <w:rFonts w:cs="Tahoma"/>
              </w:rPr>
            </w:pPr>
          </w:p>
        </w:tc>
        <w:tc>
          <w:tcPr>
            <w:tcW w:w="5310" w:type="dxa"/>
            <w:shd w:val="clear" w:color="auto" w:fill="auto"/>
          </w:tcPr>
          <w:p w14:paraId="46D4F90A" w14:textId="5F84DCF2" w:rsidR="00F50BC3" w:rsidRPr="001642EF" w:rsidRDefault="00F50BC3" w:rsidP="00332E7D">
            <w:pPr>
              <w:rPr>
                <w:rFonts w:cs="Tahoma"/>
              </w:rPr>
            </w:pPr>
            <w:r w:rsidRPr="001642EF">
              <w:rPr>
                <w:rFonts w:cs="Tahoma"/>
              </w:rPr>
              <w:t xml:space="preserve">At least once per assessment cycle, the Dean’s office surveys (or interviews) </w:t>
            </w:r>
            <w:r w:rsidR="00332E7D" w:rsidRPr="001642EF">
              <w:rPr>
                <w:rFonts w:cs="Tahoma"/>
              </w:rPr>
              <w:t>department chairs</w:t>
            </w:r>
            <w:r w:rsidRPr="001642EF">
              <w:rPr>
                <w:rFonts w:cs="Tahoma"/>
              </w:rPr>
              <w:t xml:space="preserve"> about the work of the Deans office.  This will include open ended questions about the ways</w:t>
            </w:r>
            <w:r w:rsidR="007C1790" w:rsidRPr="001642EF">
              <w:rPr>
                <w:rFonts w:cs="Tahoma"/>
              </w:rPr>
              <w:t xml:space="preserve"> to improve</w:t>
            </w:r>
            <w:r w:rsidRPr="001642EF">
              <w:rPr>
                <w:rFonts w:cs="Tahoma"/>
              </w:rPr>
              <w:t xml:space="preserve"> </w:t>
            </w:r>
            <w:r w:rsidR="007C1790" w:rsidRPr="001642EF">
              <w:rPr>
                <w:rFonts w:cs="Tahoma"/>
              </w:rPr>
              <w:t xml:space="preserve">support of service to the community, </w:t>
            </w:r>
            <w:r w:rsidRPr="001642EF">
              <w:rPr>
                <w:rFonts w:cs="Tahoma"/>
              </w:rPr>
              <w:t>state</w:t>
            </w:r>
            <w:r w:rsidR="007C1790" w:rsidRPr="001642EF">
              <w:rPr>
                <w:rFonts w:cs="Tahoma"/>
              </w:rPr>
              <w:t>, and world</w:t>
            </w:r>
            <w:r w:rsidRPr="001642EF">
              <w:rPr>
                <w:rFonts w:cs="Tahoma"/>
              </w:rPr>
              <w:t>.</w:t>
            </w:r>
          </w:p>
        </w:tc>
        <w:tc>
          <w:tcPr>
            <w:tcW w:w="4860" w:type="dxa"/>
            <w:shd w:val="clear" w:color="auto" w:fill="auto"/>
          </w:tcPr>
          <w:p w14:paraId="1175F813" w14:textId="5EE94E43" w:rsidR="00F50BC3" w:rsidRPr="001642EF" w:rsidRDefault="00F50BC3" w:rsidP="003E1785">
            <w:pPr>
              <w:rPr>
                <w:rFonts w:cs="Tahoma"/>
              </w:rPr>
            </w:pPr>
            <w:r w:rsidRPr="001642EF">
              <w:rPr>
                <w:rFonts w:cs="Tahoma"/>
              </w:rPr>
              <w:t>For each item related to service support, the majority of d</w:t>
            </w:r>
            <w:r w:rsidR="003E1785" w:rsidRPr="001642EF">
              <w:rPr>
                <w:rFonts w:cs="Tahoma"/>
              </w:rPr>
              <w:t>epartment chairs</w:t>
            </w:r>
            <w:r w:rsidRPr="001642EF">
              <w:rPr>
                <w:rFonts w:cs="Tahoma"/>
              </w:rPr>
              <w:t xml:space="preserve"> will agree that the support meets or exceeds expectation.  Answers to open ended questions will be analyzed for common themes and concerns</w:t>
            </w:r>
            <w:r w:rsidR="001642EF" w:rsidRPr="001642EF">
              <w:rPr>
                <w:rFonts w:cs="Tahoma"/>
              </w:rPr>
              <w:t xml:space="preserve"> to identify opportunities for improvement</w:t>
            </w:r>
            <w:r w:rsidRPr="001642EF">
              <w:rPr>
                <w:rFonts w:cs="Tahoma"/>
              </w:rPr>
              <w:t xml:space="preserve">.  </w:t>
            </w:r>
          </w:p>
        </w:tc>
      </w:tr>
      <w:tr w:rsidR="007F7E6C" w:rsidRPr="001642EF" w14:paraId="6E480751" w14:textId="77777777" w:rsidTr="007C0654">
        <w:trPr>
          <w:trHeight w:val="1799"/>
        </w:trPr>
        <w:tc>
          <w:tcPr>
            <w:tcW w:w="1548" w:type="dxa"/>
            <w:vMerge/>
            <w:shd w:val="clear" w:color="auto" w:fill="auto"/>
          </w:tcPr>
          <w:p w14:paraId="2DA8C3DE" w14:textId="77777777" w:rsidR="007F7E6C" w:rsidRPr="001642EF" w:rsidRDefault="007F7E6C" w:rsidP="007F7E6C">
            <w:pPr>
              <w:rPr>
                <w:rFonts w:cs="Tahoma"/>
              </w:rPr>
            </w:pPr>
          </w:p>
        </w:tc>
        <w:tc>
          <w:tcPr>
            <w:tcW w:w="2880" w:type="dxa"/>
            <w:vMerge/>
            <w:shd w:val="clear" w:color="auto" w:fill="auto"/>
          </w:tcPr>
          <w:p w14:paraId="3E6EECB9" w14:textId="77777777" w:rsidR="007F7E6C" w:rsidRPr="001642EF" w:rsidRDefault="007F7E6C" w:rsidP="007F7E6C">
            <w:pPr>
              <w:shd w:val="clear" w:color="auto" w:fill="FFFFFF"/>
              <w:spacing w:before="100" w:beforeAutospacing="1" w:after="75" w:line="240" w:lineRule="atLeast"/>
              <w:rPr>
                <w:rFonts w:cs="Tahoma"/>
              </w:rPr>
            </w:pPr>
          </w:p>
        </w:tc>
        <w:tc>
          <w:tcPr>
            <w:tcW w:w="5310" w:type="dxa"/>
            <w:shd w:val="clear" w:color="auto" w:fill="auto"/>
          </w:tcPr>
          <w:p w14:paraId="407C3D37" w14:textId="0009389D" w:rsidR="007F7E6C" w:rsidRPr="001642EF" w:rsidRDefault="007F7E6C" w:rsidP="007F7E6C">
            <w:pPr>
              <w:autoSpaceDE w:val="0"/>
              <w:autoSpaceDN w:val="0"/>
              <w:adjustRightInd w:val="0"/>
              <w:rPr>
                <w:rFonts w:cs="Tahoma"/>
              </w:rPr>
            </w:pPr>
            <w:r w:rsidRPr="001642EF">
              <w:rPr>
                <w:rFonts w:cs="Tahoma"/>
              </w:rPr>
              <w:t>Annually, department chairs will provide the Dean's office a list of service/outreach projects, such as, training opportunities, tutoring, working in classrooms, in which faculty, staff, and students participated. Faculty, staff, and students involved in those projects will be given the opportunity to describe the types and numbers of contacts made within the community and state.</w:t>
            </w:r>
          </w:p>
        </w:tc>
        <w:tc>
          <w:tcPr>
            <w:tcW w:w="4860" w:type="dxa"/>
            <w:shd w:val="clear" w:color="auto" w:fill="auto"/>
          </w:tcPr>
          <w:p w14:paraId="14706869" w14:textId="72DF9B44" w:rsidR="007F7E6C" w:rsidRPr="001642EF" w:rsidRDefault="007F7E6C" w:rsidP="007F7E6C">
            <w:pPr>
              <w:rPr>
                <w:rFonts w:cs="Tahoma"/>
              </w:rPr>
            </w:pPr>
            <w:r w:rsidRPr="001642EF">
              <w:rPr>
                <w:rFonts w:cs="Tahoma"/>
              </w:rPr>
              <w:t>For each department/service unit, at least 5 community contacts will occur via such projects.</w:t>
            </w:r>
          </w:p>
          <w:p w14:paraId="3762336D" w14:textId="77777777" w:rsidR="007F7E6C" w:rsidRPr="001642EF" w:rsidRDefault="007F7E6C" w:rsidP="007F7E6C">
            <w:pPr>
              <w:rPr>
                <w:rFonts w:cs="Tahoma"/>
              </w:rPr>
            </w:pPr>
            <w:r w:rsidRPr="001642EF">
              <w:rPr>
                <w:rFonts w:cs="Tahoma"/>
              </w:rPr>
              <w:t xml:space="preserve"> </w:t>
            </w:r>
          </w:p>
          <w:p w14:paraId="79452FCF" w14:textId="418421A7" w:rsidR="007F7E6C" w:rsidRPr="001642EF" w:rsidRDefault="007F7E6C" w:rsidP="007F7E6C">
            <w:pPr>
              <w:rPr>
                <w:rFonts w:cs="Tahoma"/>
              </w:rPr>
            </w:pPr>
          </w:p>
        </w:tc>
      </w:tr>
      <w:tr w:rsidR="007F7E6C" w:rsidRPr="001642EF" w14:paraId="2CF74CE1" w14:textId="77777777" w:rsidTr="007C0654">
        <w:trPr>
          <w:trHeight w:val="1718"/>
        </w:trPr>
        <w:tc>
          <w:tcPr>
            <w:tcW w:w="1548" w:type="dxa"/>
            <w:vMerge w:val="restart"/>
            <w:shd w:val="clear" w:color="auto" w:fill="auto"/>
          </w:tcPr>
          <w:p w14:paraId="51EAC631" w14:textId="77777777" w:rsidR="007F7E6C" w:rsidRPr="001642EF" w:rsidRDefault="007F7E6C" w:rsidP="007F7E6C">
            <w:pPr>
              <w:rPr>
                <w:rFonts w:cs="Tahoma"/>
              </w:rPr>
            </w:pPr>
            <w:r w:rsidRPr="001642EF">
              <w:rPr>
                <w:rFonts w:cs="Tahoma"/>
              </w:rPr>
              <w:t>2. Research</w:t>
            </w:r>
          </w:p>
        </w:tc>
        <w:tc>
          <w:tcPr>
            <w:tcW w:w="2880" w:type="dxa"/>
            <w:vMerge w:val="restart"/>
            <w:shd w:val="clear" w:color="auto" w:fill="auto"/>
          </w:tcPr>
          <w:p w14:paraId="36C216A6" w14:textId="0CDBE412" w:rsidR="007F7E6C" w:rsidRPr="001642EF" w:rsidRDefault="007F7E6C" w:rsidP="007F7E6C">
            <w:pPr>
              <w:shd w:val="clear" w:color="auto" w:fill="FFFFFF"/>
              <w:spacing w:before="100" w:beforeAutospacing="1" w:after="75" w:line="240" w:lineRule="atLeast"/>
              <w:rPr>
                <w:rFonts w:cs="Tahoma"/>
              </w:rPr>
            </w:pPr>
            <w:r w:rsidRPr="001642EF">
              <w:rPr>
                <w:rFonts w:cs="Tahoma"/>
              </w:rPr>
              <w:t xml:space="preserve">The Office of the Dean for the College of Humanities and Social Sciences effectively supports its faculty, staff and students’ efforts to create, evaluate, and </w:t>
            </w:r>
            <w:r w:rsidRPr="001642EF">
              <w:rPr>
                <w:rFonts w:cs="Tahoma"/>
              </w:rPr>
              <w:lastRenderedPageBreak/>
              <w:t>share knowledge.</w:t>
            </w:r>
          </w:p>
          <w:p w14:paraId="4EEBB7C5" w14:textId="77777777" w:rsidR="007F7E6C" w:rsidRPr="001642EF" w:rsidRDefault="007F7E6C" w:rsidP="007F7E6C">
            <w:pPr>
              <w:shd w:val="clear" w:color="auto" w:fill="FFFFFF"/>
              <w:spacing w:before="100" w:beforeAutospacing="1" w:after="75" w:line="240" w:lineRule="atLeast"/>
              <w:rPr>
                <w:rFonts w:cs="Tahoma"/>
              </w:rPr>
            </w:pPr>
          </w:p>
        </w:tc>
        <w:tc>
          <w:tcPr>
            <w:tcW w:w="5310" w:type="dxa"/>
            <w:shd w:val="clear" w:color="auto" w:fill="auto"/>
          </w:tcPr>
          <w:p w14:paraId="43F5D5C3" w14:textId="37D19C72" w:rsidR="007F7E6C" w:rsidRPr="001642EF" w:rsidRDefault="007F7E6C" w:rsidP="007F7E6C">
            <w:pPr>
              <w:rPr>
                <w:rFonts w:cs="Tahoma"/>
              </w:rPr>
            </w:pPr>
            <w:r w:rsidRPr="001642EF">
              <w:rPr>
                <w:rFonts w:cs="Tahoma"/>
              </w:rPr>
              <w:lastRenderedPageBreak/>
              <w:t xml:space="preserve">At least once per assessment cycle, the Dean’s office surveys (or interviews) department chairs and research unit directors about the work of the Deans office.  This will include open ended questions about the ways the Dean’s office supports research could be improved. </w:t>
            </w:r>
          </w:p>
        </w:tc>
        <w:tc>
          <w:tcPr>
            <w:tcW w:w="4860" w:type="dxa"/>
            <w:shd w:val="clear" w:color="auto" w:fill="auto"/>
          </w:tcPr>
          <w:p w14:paraId="53D8530F" w14:textId="2AF30F59" w:rsidR="007F7E6C" w:rsidRPr="001642EF" w:rsidRDefault="007F7E6C" w:rsidP="007F7E6C">
            <w:pPr>
              <w:rPr>
                <w:rFonts w:cs="Tahoma"/>
              </w:rPr>
            </w:pPr>
            <w:r w:rsidRPr="001642EF">
              <w:rPr>
                <w:rFonts w:cs="Tahoma"/>
              </w:rPr>
              <w:t xml:space="preserve">For each item related to research support, the majority of chairs/directors will agree that the support meets or exceeds expectation.  Answers to open ended questions will be analyzed for common themes and </w:t>
            </w:r>
            <w:r w:rsidR="001642EF" w:rsidRPr="001642EF">
              <w:rPr>
                <w:rFonts w:cs="Tahoma"/>
              </w:rPr>
              <w:t xml:space="preserve">concerns to identify opportunities for improvement.  </w:t>
            </w:r>
          </w:p>
        </w:tc>
      </w:tr>
      <w:tr w:rsidR="00192FC0" w:rsidRPr="001642EF" w14:paraId="672CFF9B" w14:textId="77777777" w:rsidTr="007C0654">
        <w:trPr>
          <w:trHeight w:val="2987"/>
        </w:trPr>
        <w:tc>
          <w:tcPr>
            <w:tcW w:w="1548" w:type="dxa"/>
            <w:vMerge/>
            <w:shd w:val="clear" w:color="auto" w:fill="auto"/>
          </w:tcPr>
          <w:p w14:paraId="264D12D4" w14:textId="77777777" w:rsidR="00192FC0" w:rsidRPr="001642EF" w:rsidRDefault="00192FC0" w:rsidP="007F7E6C">
            <w:pPr>
              <w:rPr>
                <w:rFonts w:cs="Tahoma"/>
              </w:rPr>
            </w:pPr>
          </w:p>
        </w:tc>
        <w:tc>
          <w:tcPr>
            <w:tcW w:w="2880" w:type="dxa"/>
            <w:vMerge/>
            <w:shd w:val="clear" w:color="auto" w:fill="auto"/>
          </w:tcPr>
          <w:p w14:paraId="75D8269B" w14:textId="77777777" w:rsidR="00192FC0" w:rsidRPr="001642EF" w:rsidRDefault="00192FC0" w:rsidP="007F7E6C">
            <w:pPr>
              <w:shd w:val="clear" w:color="auto" w:fill="FFFFFF"/>
              <w:spacing w:before="100" w:beforeAutospacing="1" w:after="75" w:line="240" w:lineRule="atLeast"/>
              <w:rPr>
                <w:rFonts w:cs="Tahoma"/>
              </w:rPr>
            </w:pPr>
          </w:p>
        </w:tc>
        <w:tc>
          <w:tcPr>
            <w:tcW w:w="5310" w:type="dxa"/>
            <w:shd w:val="clear" w:color="auto" w:fill="auto"/>
          </w:tcPr>
          <w:p w14:paraId="004DEF1D" w14:textId="4741C15E" w:rsidR="00192FC0" w:rsidRPr="001642EF" w:rsidRDefault="00192FC0" w:rsidP="007F7E6C">
            <w:pPr>
              <w:rPr>
                <w:rFonts w:cs="Tahoma"/>
              </w:rPr>
            </w:pPr>
            <w:r w:rsidRPr="001642EF">
              <w:rPr>
                <w:rFonts w:cs="Tahoma"/>
              </w:rPr>
              <w:t xml:space="preserve">Using the Faculty Activity Report, the School will identify the number of publications and presentations involving faculty or staff.  For each department these data will be compared to the number of full-time tenured or tenured track faculty.  </w:t>
            </w:r>
          </w:p>
        </w:tc>
        <w:tc>
          <w:tcPr>
            <w:tcW w:w="4860" w:type="dxa"/>
            <w:shd w:val="clear" w:color="auto" w:fill="auto"/>
          </w:tcPr>
          <w:p w14:paraId="40A40D5D" w14:textId="6978EA95" w:rsidR="00192FC0" w:rsidRPr="001642EF" w:rsidRDefault="00192FC0" w:rsidP="007F7E6C">
            <w:pPr>
              <w:rPr>
                <w:rFonts w:cs="Tahoma"/>
              </w:rPr>
            </w:pPr>
            <w:r w:rsidRPr="001642EF">
              <w:rPr>
                <w:rFonts w:cs="Tahoma"/>
              </w:rPr>
              <w:t>Each department will have at least a ratio of 1 publication to 1 full time tenured or tenured track faculty per year.</w:t>
            </w:r>
          </w:p>
          <w:p w14:paraId="5E2A8EC1" w14:textId="07AB1579" w:rsidR="002F4239" w:rsidRDefault="00192FC0" w:rsidP="002F4239">
            <w:pPr>
              <w:rPr>
                <w:rFonts w:cs="Tahoma"/>
              </w:rPr>
            </w:pPr>
            <w:r w:rsidRPr="001642EF">
              <w:rPr>
                <w:rFonts w:cs="Tahoma"/>
              </w:rPr>
              <w:t>Each department will have at least a ratio of 2 presentations to 1 full time tenured or tenured track faculty per year.</w:t>
            </w:r>
          </w:p>
          <w:p w14:paraId="5548DC01" w14:textId="21B3616D" w:rsidR="00192FC0" w:rsidRPr="001642EF" w:rsidRDefault="00192FC0" w:rsidP="002F4239">
            <w:pPr>
              <w:rPr>
                <w:rFonts w:cs="Tahoma"/>
              </w:rPr>
            </w:pPr>
            <w:r w:rsidRPr="001642EF">
              <w:rPr>
                <w:rFonts w:cs="Tahoma"/>
              </w:rPr>
              <w:t xml:space="preserve">Each center with research faculty will have at least a ratio of 2 publications to two full-time faculty per year.  </w:t>
            </w:r>
          </w:p>
        </w:tc>
      </w:tr>
      <w:tr w:rsidR="007F7E6C" w:rsidRPr="001642EF" w14:paraId="5D74B4FC" w14:textId="77777777" w:rsidTr="007C0654">
        <w:trPr>
          <w:trHeight w:val="832"/>
        </w:trPr>
        <w:tc>
          <w:tcPr>
            <w:tcW w:w="1548" w:type="dxa"/>
            <w:vMerge w:val="restart"/>
            <w:shd w:val="clear" w:color="auto" w:fill="auto"/>
          </w:tcPr>
          <w:p w14:paraId="6F9DE9E6" w14:textId="660CB4B9" w:rsidR="007F7E6C" w:rsidRPr="001642EF" w:rsidRDefault="007F7E6C" w:rsidP="007F7E6C">
            <w:pPr>
              <w:rPr>
                <w:rFonts w:cs="Tahoma"/>
              </w:rPr>
            </w:pPr>
            <w:r w:rsidRPr="001642EF">
              <w:rPr>
                <w:rFonts w:cs="Tahoma"/>
              </w:rPr>
              <w:t>3. Faculty Support – Recruitment &amp; Retention</w:t>
            </w:r>
          </w:p>
        </w:tc>
        <w:tc>
          <w:tcPr>
            <w:tcW w:w="2880" w:type="dxa"/>
            <w:vMerge w:val="restart"/>
            <w:shd w:val="clear" w:color="auto" w:fill="auto"/>
          </w:tcPr>
          <w:p w14:paraId="1822FF17" w14:textId="6E1C98A9" w:rsidR="007F7E6C" w:rsidRPr="001642EF" w:rsidRDefault="007F7E6C" w:rsidP="007F7E6C">
            <w:pPr>
              <w:rPr>
                <w:rFonts w:cs="Tahoma"/>
              </w:rPr>
            </w:pPr>
            <w:r w:rsidRPr="001642EF">
              <w:rPr>
                <w:rFonts w:cs="Tahoma"/>
              </w:rPr>
              <w:t xml:space="preserve">The Office of the Dean for the College of Humanities and Social Sciences effectively supports faculty retention and recruitment efforts.  </w:t>
            </w:r>
          </w:p>
        </w:tc>
        <w:tc>
          <w:tcPr>
            <w:tcW w:w="5310" w:type="dxa"/>
            <w:shd w:val="clear" w:color="auto" w:fill="auto"/>
          </w:tcPr>
          <w:p w14:paraId="11A0C371" w14:textId="18C77DE5" w:rsidR="007F7E6C" w:rsidRPr="001642EF" w:rsidRDefault="007F7E6C" w:rsidP="007F7E6C">
            <w:pPr>
              <w:rPr>
                <w:rFonts w:cs="Tahoma"/>
              </w:rPr>
            </w:pPr>
            <w:r w:rsidRPr="001642EF">
              <w:rPr>
                <w:rFonts w:cs="Tahoma"/>
              </w:rPr>
              <w:t>At least once per assessment cycle, the Dean’s office surveys (or interviews) department chairs about the work of the Dean</w:t>
            </w:r>
            <w:r w:rsidR="00192FC0" w:rsidRPr="001642EF">
              <w:rPr>
                <w:rFonts w:cs="Tahoma"/>
              </w:rPr>
              <w:t>’</w:t>
            </w:r>
            <w:r w:rsidRPr="001642EF">
              <w:rPr>
                <w:rFonts w:cs="Tahoma"/>
              </w:rPr>
              <w:t>s office.  This will include open ended questions about the ways the Dean’s office supports faculty recruitment and retention.</w:t>
            </w:r>
          </w:p>
        </w:tc>
        <w:tc>
          <w:tcPr>
            <w:tcW w:w="4860" w:type="dxa"/>
            <w:shd w:val="clear" w:color="auto" w:fill="auto"/>
          </w:tcPr>
          <w:p w14:paraId="5F766E5C" w14:textId="3141F06F" w:rsidR="007F7E6C" w:rsidRPr="001642EF" w:rsidRDefault="007F7E6C" w:rsidP="007F7E6C">
            <w:pPr>
              <w:rPr>
                <w:rFonts w:cs="Tahoma"/>
              </w:rPr>
            </w:pPr>
            <w:r w:rsidRPr="001642EF">
              <w:rPr>
                <w:rFonts w:cs="Tahoma"/>
              </w:rPr>
              <w:t xml:space="preserve">For each item related to retention &amp; recruitment, the majority of chairs will agree that the support meets or exceeds expectation.  Answers to open ended questions will be analyzed for common themes and </w:t>
            </w:r>
            <w:r w:rsidR="001642EF" w:rsidRPr="001642EF">
              <w:rPr>
                <w:rFonts w:cs="Tahoma"/>
              </w:rPr>
              <w:t xml:space="preserve">concerns to identify opportunities for improvement.  </w:t>
            </w:r>
          </w:p>
        </w:tc>
      </w:tr>
      <w:tr w:rsidR="007F7E6C" w:rsidRPr="001642EF" w14:paraId="5531BF7D" w14:textId="77777777" w:rsidTr="007C0654">
        <w:trPr>
          <w:trHeight w:val="832"/>
        </w:trPr>
        <w:tc>
          <w:tcPr>
            <w:tcW w:w="1548" w:type="dxa"/>
            <w:vMerge/>
            <w:shd w:val="clear" w:color="auto" w:fill="auto"/>
          </w:tcPr>
          <w:p w14:paraId="61500129" w14:textId="77777777" w:rsidR="007F7E6C" w:rsidRPr="001642EF" w:rsidRDefault="007F7E6C" w:rsidP="007F7E6C">
            <w:pPr>
              <w:rPr>
                <w:rFonts w:cs="Tahoma"/>
              </w:rPr>
            </w:pPr>
          </w:p>
        </w:tc>
        <w:tc>
          <w:tcPr>
            <w:tcW w:w="2880" w:type="dxa"/>
            <w:vMerge/>
            <w:shd w:val="clear" w:color="auto" w:fill="auto"/>
          </w:tcPr>
          <w:p w14:paraId="55496506" w14:textId="77777777" w:rsidR="007F7E6C" w:rsidRPr="001642EF" w:rsidRDefault="007F7E6C" w:rsidP="007F7E6C">
            <w:pPr>
              <w:rPr>
                <w:rFonts w:cs="Tahoma"/>
              </w:rPr>
            </w:pPr>
          </w:p>
        </w:tc>
        <w:tc>
          <w:tcPr>
            <w:tcW w:w="5310" w:type="dxa"/>
            <w:shd w:val="clear" w:color="auto" w:fill="auto"/>
          </w:tcPr>
          <w:p w14:paraId="7E5F21E7" w14:textId="7FB2C3FD" w:rsidR="00192FC0" w:rsidRPr="001642EF" w:rsidRDefault="00192FC0" w:rsidP="00192FC0">
            <w:pPr>
              <w:autoSpaceDE w:val="0"/>
              <w:autoSpaceDN w:val="0"/>
              <w:adjustRightInd w:val="0"/>
              <w:rPr>
                <w:rFonts w:cs="Tahoma"/>
              </w:rPr>
            </w:pPr>
            <w:r w:rsidRPr="001642EF">
              <w:rPr>
                <w:rFonts w:cs="Tahoma"/>
              </w:rPr>
              <w:t>The number of faculty and staff applying for and receiving support through the Full-Time Faculty and Staff Research Funds account will be reviewed annu</w:t>
            </w:r>
            <w:r w:rsidR="007C0654">
              <w:rPr>
                <w:rFonts w:cs="Tahoma"/>
              </w:rPr>
              <w:t>ally</w:t>
            </w:r>
            <w:bookmarkStart w:id="0" w:name="_GoBack"/>
            <w:bookmarkEnd w:id="0"/>
            <w:r w:rsidRPr="001642EF">
              <w:rPr>
                <w:rFonts w:cs="Tahoma"/>
              </w:rPr>
              <w:t>.</w:t>
            </w:r>
          </w:p>
          <w:p w14:paraId="7BB57CEE" w14:textId="4455CD38" w:rsidR="007F7E6C" w:rsidRPr="001642EF" w:rsidRDefault="00192FC0" w:rsidP="00192FC0">
            <w:pPr>
              <w:autoSpaceDE w:val="0"/>
              <w:autoSpaceDN w:val="0"/>
              <w:adjustRightInd w:val="0"/>
              <w:rPr>
                <w:rFonts w:cs="Tahoma"/>
              </w:rPr>
            </w:pPr>
            <w:r w:rsidRPr="001642EF">
              <w:rPr>
                <w:rFonts w:cs="Tahoma"/>
              </w:rPr>
              <w:t xml:space="preserve">This support provided through the Dean's Office </w:t>
            </w:r>
            <w:r w:rsidR="00205501" w:rsidRPr="001642EF">
              <w:rPr>
                <w:rFonts w:cs="Tahoma"/>
              </w:rPr>
              <w:t>is a</w:t>
            </w:r>
            <w:r w:rsidRPr="001642EF">
              <w:rPr>
                <w:rFonts w:cs="Tahoma"/>
              </w:rPr>
              <w:t xml:space="preserve"> positive asset faculty and staff noted as promoting recruitment and retention.</w:t>
            </w:r>
          </w:p>
        </w:tc>
        <w:tc>
          <w:tcPr>
            <w:tcW w:w="4860" w:type="dxa"/>
            <w:shd w:val="clear" w:color="auto" w:fill="auto"/>
          </w:tcPr>
          <w:p w14:paraId="7C86A9EC" w14:textId="1EF9557D" w:rsidR="007F7E6C" w:rsidRPr="001642EF" w:rsidRDefault="00192FC0" w:rsidP="00192FC0">
            <w:pPr>
              <w:autoSpaceDE w:val="0"/>
              <w:autoSpaceDN w:val="0"/>
              <w:adjustRightInd w:val="0"/>
              <w:rPr>
                <w:rFonts w:cs="Tahoma"/>
              </w:rPr>
            </w:pPr>
            <w:r w:rsidRPr="001642EF">
              <w:rPr>
                <w:rFonts w:cs="Tahoma"/>
              </w:rPr>
              <w:t>At least 10% of full-time faculty and staff will successfully apply and receive support for research through this fund.</w:t>
            </w:r>
          </w:p>
        </w:tc>
      </w:tr>
      <w:tr w:rsidR="007F7E6C" w:rsidRPr="001642EF" w14:paraId="0FEE98B0" w14:textId="77777777" w:rsidTr="007C0654">
        <w:trPr>
          <w:trHeight w:val="832"/>
        </w:trPr>
        <w:tc>
          <w:tcPr>
            <w:tcW w:w="1548" w:type="dxa"/>
            <w:vMerge w:val="restart"/>
            <w:shd w:val="clear" w:color="auto" w:fill="auto"/>
          </w:tcPr>
          <w:p w14:paraId="07380C74" w14:textId="4F1EAF21" w:rsidR="007F7E6C" w:rsidRPr="001642EF" w:rsidRDefault="007F7E6C" w:rsidP="007F7E6C">
            <w:pPr>
              <w:rPr>
                <w:rFonts w:cs="Tahoma"/>
              </w:rPr>
            </w:pPr>
            <w:r w:rsidRPr="001642EF">
              <w:rPr>
                <w:rFonts w:cs="Tahoma"/>
              </w:rPr>
              <w:t xml:space="preserve">4. Student Support – Degree Processing </w:t>
            </w:r>
          </w:p>
        </w:tc>
        <w:tc>
          <w:tcPr>
            <w:tcW w:w="2880" w:type="dxa"/>
            <w:vMerge w:val="restart"/>
            <w:shd w:val="clear" w:color="auto" w:fill="auto"/>
          </w:tcPr>
          <w:p w14:paraId="0C42791D" w14:textId="1D3ECA19" w:rsidR="007F7E6C" w:rsidRPr="001642EF" w:rsidRDefault="007F7E6C" w:rsidP="007F7E6C">
            <w:pPr>
              <w:rPr>
                <w:rFonts w:cs="Tahoma"/>
              </w:rPr>
            </w:pPr>
            <w:r w:rsidRPr="001642EF">
              <w:rPr>
                <w:rFonts w:cs="Tahoma"/>
              </w:rPr>
              <w:t>The Office of the Dean for the College of Humanities and Social Sciences effectively processes degree applications.</w:t>
            </w:r>
          </w:p>
        </w:tc>
        <w:tc>
          <w:tcPr>
            <w:tcW w:w="5310" w:type="dxa"/>
            <w:shd w:val="clear" w:color="auto" w:fill="auto"/>
          </w:tcPr>
          <w:p w14:paraId="6D2CFF23" w14:textId="51097132" w:rsidR="007F7E6C" w:rsidRPr="001642EF" w:rsidRDefault="007F7E6C" w:rsidP="007F7E6C">
            <w:pPr>
              <w:rPr>
                <w:rFonts w:cs="Tahoma"/>
              </w:rPr>
            </w:pPr>
            <w:r w:rsidRPr="001642EF">
              <w:rPr>
                <w:rFonts w:cs="Tahoma"/>
              </w:rPr>
              <w:t>The Dean’s office will keep a log of degree applications sent back to the school for clarification or rejected as inadequate.  The rational</w:t>
            </w:r>
            <w:r w:rsidR="00BE1AB9" w:rsidRPr="001642EF">
              <w:rPr>
                <w:rFonts w:cs="Tahoma"/>
              </w:rPr>
              <w:t>e</w:t>
            </w:r>
            <w:r w:rsidRPr="001642EF">
              <w:rPr>
                <w:rFonts w:cs="Tahoma"/>
              </w:rPr>
              <w:t xml:space="preserve"> for review will also be noted. </w:t>
            </w:r>
          </w:p>
        </w:tc>
        <w:tc>
          <w:tcPr>
            <w:tcW w:w="4860" w:type="dxa"/>
            <w:shd w:val="clear" w:color="auto" w:fill="auto"/>
          </w:tcPr>
          <w:p w14:paraId="59EA6FF5" w14:textId="25CDBBD3" w:rsidR="007C0654" w:rsidRDefault="007F7E6C" w:rsidP="007C0654">
            <w:pPr>
              <w:rPr>
                <w:rFonts w:cs="Tahoma"/>
              </w:rPr>
            </w:pPr>
            <w:r w:rsidRPr="001642EF">
              <w:rPr>
                <w:rFonts w:cs="Tahoma"/>
              </w:rPr>
              <w:t>Less than 1% of degree applications will be returned to the school.</w:t>
            </w:r>
          </w:p>
          <w:p w14:paraId="47E0A389" w14:textId="289AE907" w:rsidR="00BE1AB9" w:rsidRPr="001642EF" w:rsidRDefault="007F7E6C" w:rsidP="007C0654">
            <w:pPr>
              <w:rPr>
                <w:rFonts w:cs="Tahoma"/>
                <w:highlight w:val="yellow"/>
              </w:rPr>
            </w:pPr>
            <w:r w:rsidRPr="001642EF">
              <w:rPr>
                <w:rFonts w:cs="Tahoma"/>
              </w:rPr>
              <w:t xml:space="preserve">For each rationale, </w:t>
            </w:r>
            <w:r w:rsidR="00BE1AB9" w:rsidRPr="001642EF">
              <w:rPr>
                <w:rFonts w:cs="Tahoma"/>
              </w:rPr>
              <w:t>any category accounting for 10% or more of the</w:t>
            </w:r>
            <w:r w:rsidRPr="001642EF">
              <w:rPr>
                <w:rFonts w:cs="Tahoma"/>
              </w:rPr>
              <w:t xml:space="preserve"> returned degree applications will </w:t>
            </w:r>
            <w:r w:rsidR="00BE1AB9" w:rsidRPr="001642EF">
              <w:rPr>
                <w:rFonts w:cs="Tahoma"/>
              </w:rPr>
              <w:t>be examined for ways to reduce need for review.</w:t>
            </w:r>
          </w:p>
        </w:tc>
      </w:tr>
      <w:tr w:rsidR="007F7E6C" w:rsidRPr="001642EF" w14:paraId="73C01055" w14:textId="77777777" w:rsidTr="007C0654">
        <w:trPr>
          <w:trHeight w:val="832"/>
        </w:trPr>
        <w:tc>
          <w:tcPr>
            <w:tcW w:w="1548" w:type="dxa"/>
            <w:vMerge/>
            <w:shd w:val="clear" w:color="auto" w:fill="auto"/>
          </w:tcPr>
          <w:p w14:paraId="4F644A37" w14:textId="77777777" w:rsidR="007F7E6C" w:rsidRPr="001642EF" w:rsidRDefault="007F7E6C" w:rsidP="007F7E6C">
            <w:pPr>
              <w:rPr>
                <w:rFonts w:cs="Tahoma"/>
              </w:rPr>
            </w:pPr>
          </w:p>
        </w:tc>
        <w:tc>
          <w:tcPr>
            <w:tcW w:w="2880" w:type="dxa"/>
            <w:vMerge/>
            <w:shd w:val="clear" w:color="auto" w:fill="auto"/>
          </w:tcPr>
          <w:p w14:paraId="557FF53F" w14:textId="77777777" w:rsidR="007F7E6C" w:rsidRPr="001642EF" w:rsidRDefault="007F7E6C" w:rsidP="007F7E6C">
            <w:pPr>
              <w:rPr>
                <w:rFonts w:cs="Tahoma"/>
              </w:rPr>
            </w:pPr>
          </w:p>
        </w:tc>
        <w:tc>
          <w:tcPr>
            <w:tcW w:w="5310" w:type="dxa"/>
            <w:shd w:val="clear" w:color="auto" w:fill="auto"/>
          </w:tcPr>
          <w:p w14:paraId="28F066DA" w14:textId="620CD5E0" w:rsidR="007F7E6C" w:rsidRPr="001642EF" w:rsidRDefault="007F7E6C" w:rsidP="007F7E6C">
            <w:pPr>
              <w:rPr>
                <w:rFonts w:cs="Tahoma"/>
              </w:rPr>
            </w:pPr>
            <w:r w:rsidRPr="001642EF">
              <w:rPr>
                <w:rFonts w:cs="Tahoma"/>
              </w:rPr>
              <w:t>At least once per assessment cycle, the Dean’s office surveys (or interviews) department chairs about the work of the Deans office.  This will include open ended questions about degree processing.</w:t>
            </w:r>
          </w:p>
        </w:tc>
        <w:tc>
          <w:tcPr>
            <w:tcW w:w="4860" w:type="dxa"/>
            <w:shd w:val="clear" w:color="auto" w:fill="auto"/>
          </w:tcPr>
          <w:p w14:paraId="29A6816E" w14:textId="40B092B9" w:rsidR="007F7E6C" w:rsidRPr="001642EF" w:rsidRDefault="007F7E6C" w:rsidP="007F7E6C">
            <w:pPr>
              <w:rPr>
                <w:rFonts w:cs="Tahoma"/>
              </w:rPr>
            </w:pPr>
            <w:r w:rsidRPr="001642EF">
              <w:rPr>
                <w:rFonts w:cs="Tahoma"/>
              </w:rPr>
              <w:t xml:space="preserve">For each item related to degree processing, the majority of chairs will agree that the support meets or exceeds expectation.  Answers to open ended questions will be analyzed for common themes and </w:t>
            </w:r>
            <w:r w:rsidR="001642EF" w:rsidRPr="001642EF">
              <w:rPr>
                <w:rFonts w:cs="Tahoma"/>
              </w:rPr>
              <w:t xml:space="preserve">concerns to identify opportunities for improvement.  </w:t>
            </w:r>
          </w:p>
        </w:tc>
      </w:tr>
    </w:tbl>
    <w:p w14:paraId="2A3F6FA3" w14:textId="77777777" w:rsidR="00C52F68" w:rsidRPr="0066523C" w:rsidRDefault="00C52F68" w:rsidP="007C0654">
      <w:pPr>
        <w:rPr>
          <w:sz w:val="20"/>
        </w:rPr>
      </w:pPr>
    </w:p>
    <w:sectPr w:rsidR="00C52F68" w:rsidRPr="0066523C" w:rsidSect="003B120A">
      <w:pgSz w:w="15840" w:h="12240" w:orient="landscape"/>
      <w:pgMar w:top="432" w:right="432"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07FF"/>
    <w:multiLevelType w:val="multilevel"/>
    <w:tmpl w:val="EC24B7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FD"/>
    <w:rsid w:val="00097F8E"/>
    <w:rsid w:val="0012216D"/>
    <w:rsid w:val="001642EF"/>
    <w:rsid w:val="00192FC0"/>
    <w:rsid w:val="00205501"/>
    <w:rsid w:val="00225509"/>
    <w:rsid w:val="002766EA"/>
    <w:rsid w:val="00296850"/>
    <w:rsid w:val="002F4239"/>
    <w:rsid w:val="00332E7D"/>
    <w:rsid w:val="003B120A"/>
    <w:rsid w:val="003E1785"/>
    <w:rsid w:val="004A6824"/>
    <w:rsid w:val="004C2A04"/>
    <w:rsid w:val="004E673F"/>
    <w:rsid w:val="00560E93"/>
    <w:rsid w:val="0066523C"/>
    <w:rsid w:val="00695BA7"/>
    <w:rsid w:val="006A74B8"/>
    <w:rsid w:val="00710FD5"/>
    <w:rsid w:val="00732365"/>
    <w:rsid w:val="00773CFD"/>
    <w:rsid w:val="007C0654"/>
    <w:rsid w:val="007C1790"/>
    <w:rsid w:val="007F7E6C"/>
    <w:rsid w:val="008D7381"/>
    <w:rsid w:val="009358FB"/>
    <w:rsid w:val="009803AA"/>
    <w:rsid w:val="009E4E54"/>
    <w:rsid w:val="00A56CD6"/>
    <w:rsid w:val="00A623FB"/>
    <w:rsid w:val="00A65E56"/>
    <w:rsid w:val="00B44B75"/>
    <w:rsid w:val="00B65A7C"/>
    <w:rsid w:val="00BE1AB9"/>
    <w:rsid w:val="00C52F68"/>
    <w:rsid w:val="00CC0EEF"/>
    <w:rsid w:val="00CE6A17"/>
    <w:rsid w:val="00D66FE9"/>
    <w:rsid w:val="00DB3F00"/>
    <w:rsid w:val="00F23483"/>
    <w:rsid w:val="00F50B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7B0413"/>
  <w15:docId w15:val="{B57E024A-478E-4D59-B579-C8B0EE99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F3E"/>
    <w:rPr>
      <w:rFonts w:ascii="Tahoma" w:hAnsi="Tahoma"/>
      <w:sz w:val="24"/>
      <w:szCs w:val="24"/>
    </w:rPr>
  </w:style>
  <w:style w:type="paragraph" w:styleId="Heading2">
    <w:name w:val="heading 2"/>
    <w:basedOn w:val="Normal"/>
    <w:next w:val="Normal"/>
    <w:qFormat/>
    <w:rsid w:val="0052553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Abstract">
    <w:name w:val="APA Abstract"/>
    <w:basedOn w:val="Normal"/>
    <w:rsid w:val="00525532"/>
    <w:pPr>
      <w:widowControl w:val="0"/>
      <w:tabs>
        <w:tab w:val="left" w:pos="9360"/>
      </w:tabs>
      <w:spacing w:line="480" w:lineRule="auto"/>
    </w:pPr>
    <w:rPr>
      <w:rFonts w:ascii="Arial" w:hAnsi="Arial"/>
      <w:szCs w:val="20"/>
    </w:rPr>
  </w:style>
  <w:style w:type="paragraph" w:customStyle="1" w:styleId="APAheading1">
    <w:name w:val="APA heading 1"/>
    <w:basedOn w:val="Heading2"/>
    <w:next w:val="Normal"/>
    <w:rsid w:val="00525532"/>
    <w:pPr>
      <w:spacing w:before="0" w:after="0" w:line="480" w:lineRule="auto"/>
      <w:jc w:val="center"/>
    </w:pPr>
    <w:rPr>
      <w:b w:val="0"/>
      <w:i w:val="0"/>
      <w:sz w:val="24"/>
      <w:szCs w:val="20"/>
    </w:rPr>
  </w:style>
  <w:style w:type="paragraph" w:customStyle="1" w:styleId="APAheading2">
    <w:name w:val="APA heading 2"/>
    <w:basedOn w:val="Normal"/>
    <w:next w:val="Normal"/>
    <w:rsid w:val="00525532"/>
    <w:pPr>
      <w:widowControl w:val="0"/>
      <w:spacing w:line="480" w:lineRule="auto"/>
      <w:outlineLvl w:val="2"/>
    </w:pPr>
    <w:rPr>
      <w:rFonts w:ascii="Arial" w:hAnsi="Arial"/>
      <w:szCs w:val="20"/>
      <w:u w:val="single"/>
    </w:rPr>
  </w:style>
  <w:style w:type="paragraph" w:customStyle="1" w:styleId="APAheading3">
    <w:name w:val="APA heading 3"/>
    <w:basedOn w:val="APAheading2"/>
    <w:rsid w:val="00525532"/>
    <w:pPr>
      <w:ind w:firstLine="720"/>
      <w:outlineLvl w:val="3"/>
    </w:pPr>
  </w:style>
  <w:style w:type="paragraph" w:customStyle="1" w:styleId="APAParagraph">
    <w:name w:val="APA Paragraph"/>
    <w:basedOn w:val="Normal"/>
    <w:rsid w:val="00525532"/>
    <w:pPr>
      <w:widowControl w:val="0"/>
      <w:spacing w:line="480" w:lineRule="auto"/>
      <w:ind w:firstLine="720"/>
    </w:pPr>
    <w:rPr>
      <w:rFonts w:ascii="Arial" w:hAnsi="Arial"/>
      <w:szCs w:val="20"/>
    </w:rPr>
  </w:style>
  <w:style w:type="table" w:styleId="TableGrid">
    <w:name w:val="Table Grid"/>
    <w:basedOn w:val="TableNormal"/>
    <w:rsid w:val="00C52F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4890">
      <w:bodyDiv w:val="1"/>
      <w:marLeft w:val="0"/>
      <w:marRight w:val="0"/>
      <w:marTop w:val="0"/>
      <w:marBottom w:val="0"/>
      <w:divBdr>
        <w:top w:val="none" w:sz="0" w:space="0" w:color="auto"/>
        <w:left w:val="none" w:sz="0" w:space="0" w:color="auto"/>
        <w:bottom w:val="none" w:sz="0" w:space="0" w:color="auto"/>
        <w:right w:val="none" w:sz="0" w:space="0" w:color="auto"/>
      </w:divBdr>
    </w:div>
    <w:div w:id="1010718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Mississippi</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Kellum</dc:creator>
  <cp:keywords/>
  <cp:lastModifiedBy>Kayla Arrington</cp:lastModifiedBy>
  <cp:revision>12</cp:revision>
  <cp:lastPrinted>2011-02-25T16:46:00Z</cp:lastPrinted>
  <dcterms:created xsi:type="dcterms:W3CDTF">2016-01-31T21:23:00Z</dcterms:created>
  <dcterms:modified xsi:type="dcterms:W3CDTF">2016-05-10T01:12:00Z</dcterms:modified>
</cp:coreProperties>
</file>